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745" w:rsidRPr="00FF4F1C" w:rsidRDefault="00A41745" w:rsidP="00A63EA6">
      <w:pPr>
        <w:widowControl/>
        <w:jc w:val="center"/>
        <w:rPr>
          <w:rFonts w:ascii="Times New Roman" w:eastAsia="Times New Roman" w:hAnsi="Times New Roman" w:cs="Times New Roman"/>
          <w:b/>
          <w:color w:val="auto"/>
          <w:sz w:val="28"/>
          <w:szCs w:val="28"/>
          <w:lang w:val="en-US" w:eastAsia="en-US"/>
        </w:rPr>
      </w:pPr>
      <w:r w:rsidRPr="00FF4F1C">
        <w:rPr>
          <w:rFonts w:ascii="Times New Roman" w:eastAsia="Times New Roman" w:hAnsi="Times New Roman" w:cs="Times New Roman"/>
          <w:b/>
          <w:bCs/>
          <w:color w:val="auto"/>
          <w:sz w:val="28"/>
          <w:szCs w:val="28"/>
          <w:lang w:val="en-US" w:eastAsia="en-US"/>
        </w:rPr>
        <w:t xml:space="preserve">PHỤ LỤC </w:t>
      </w:r>
      <w:r w:rsidR="002175FC">
        <w:rPr>
          <w:rFonts w:ascii="Times New Roman" w:eastAsia="Times New Roman" w:hAnsi="Times New Roman" w:cs="Times New Roman"/>
          <w:b/>
          <w:bCs/>
          <w:color w:val="auto"/>
          <w:sz w:val="28"/>
          <w:szCs w:val="28"/>
          <w:lang w:val="en-US" w:eastAsia="en-US"/>
        </w:rPr>
        <w:t>01</w:t>
      </w:r>
    </w:p>
    <w:p w:rsidR="00A41745" w:rsidRPr="00A63EA6" w:rsidRDefault="00A63EA6" w:rsidP="00A63EA6">
      <w:pPr>
        <w:widowControl/>
        <w:spacing w:after="120"/>
        <w:jc w:val="center"/>
        <w:rPr>
          <w:rFonts w:ascii="Times New Roman" w:eastAsia="Times New Roman" w:hAnsi="Times New Roman" w:cs="Times New Roman"/>
          <w:b/>
          <w:color w:val="auto"/>
          <w:sz w:val="28"/>
          <w:szCs w:val="28"/>
          <w:lang w:val="en-US" w:eastAsia="en-US"/>
        </w:rPr>
      </w:pPr>
      <w:r w:rsidRPr="00FF4F1C">
        <w:rPr>
          <w:rFonts w:ascii="Times New Roman" w:eastAsia="Times New Roman" w:hAnsi="Times New Roman" w:cs="Times New Roman"/>
          <w:b/>
          <w:color w:val="auto"/>
          <w:sz w:val="28"/>
          <w:szCs w:val="28"/>
          <w:lang w:val="en-US" w:eastAsia="en-US"/>
        </w:rPr>
        <w:t xml:space="preserve">Bảng tiêu chí đánh giá, chấm điểm tổ chức </w:t>
      </w:r>
      <w:r>
        <w:rPr>
          <w:rFonts w:ascii="Times New Roman" w:eastAsia="Times New Roman" w:hAnsi="Times New Roman" w:cs="Times New Roman"/>
          <w:b/>
          <w:color w:val="auto"/>
          <w:sz w:val="28"/>
          <w:szCs w:val="28"/>
          <w:lang w:val="en-US" w:eastAsia="en-US"/>
        </w:rPr>
        <w:t>hành nghề đấu giá tài sản</w:t>
      </w:r>
    </w:p>
    <w:p w:rsidR="00A41745" w:rsidRDefault="00BD5A62" w:rsidP="00A63EA6">
      <w:pPr>
        <w:widowControl/>
        <w:jc w:val="center"/>
        <w:rPr>
          <w:rFonts w:ascii="Times New Roman" w:eastAsia="Times New Roman" w:hAnsi="Times New Roman" w:cs="Times New Roman"/>
          <w:i/>
          <w:iCs/>
          <w:color w:val="auto"/>
          <w:sz w:val="26"/>
          <w:szCs w:val="26"/>
          <w:lang w:val="en-US" w:eastAsia="en-US"/>
        </w:rPr>
      </w:pPr>
      <w:r w:rsidRPr="00A63EA6">
        <w:rPr>
          <w:rFonts w:ascii="Times New Roman" w:eastAsia="Times New Roman" w:hAnsi="Times New Roman" w:cs="Times New Roman"/>
          <w:i/>
          <w:iCs/>
          <w:color w:val="auto"/>
          <w:sz w:val="26"/>
          <w:szCs w:val="26"/>
          <w:lang w:val="en-US" w:eastAsia="en-US"/>
        </w:rPr>
        <w:t>(Kèm theo Thông báo số</w:t>
      </w:r>
      <w:r w:rsidR="00A63EA6">
        <w:rPr>
          <w:rFonts w:ascii="Times New Roman" w:eastAsia="Times New Roman" w:hAnsi="Times New Roman" w:cs="Times New Roman"/>
          <w:i/>
          <w:iCs/>
          <w:color w:val="auto"/>
          <w:sz w:val="26"/>
          <w:szCs w:val="26"/>
          <w:lang w:val="en-US" w:eastAsia="en-US"/>
        </w:rPr>
        <w:t xml:space="preserve">   </w:t>
      </w:r>
      <w:r w:rsidRPr="00A63EA6">
        <w:rPr>
          <w:rFonts w:ascii="Times New Roman" w:eastAsia="Times New Roman" w:hAnsi="Times New Roman" w:cs="Times New Roman"/>
          <w:i/>
          <w:iCs/>
          <w:color w:val="auto"/>
          <w:sz w:val="26"/>
          <w:szCs w:val="26"/>
          <w:lang w:val="en-US" w:eastAsia="en-US"/>
        </w:rPr>
        <w:t xml:space="preserve">  </w:t>
      </w:r>
      <w:r w:rsidR="00A63EA6">
        <w:rPr>
          <w:rFonts w:ascii="Times New Roman" w:eastAsia="Times New Roman" w:hAnsi="Times New Roman" w:cs="Times New Roman"/>
          <w:i/>
          <w:iCs/>
          <w:color w:val="auto"/>
          <w:sz w:val="26"/>
          <w:szCs w:val="26"/>
          <w:lang w:val="en-US" w:eastAsia="en-US"/>
        </w:rPr>
        <w:t xml:space="preserve">   </w:t>
      </w:r>
      <w:r w:rsidRPr="00A63EA6">
        <w:rPr>
          <w:rFonts w:ascii="Times New Roman" w:eastAsia="Times New Roman" w:hAnsi="Times New Roman" w:cs="Times New Roman"/>
          <w:i/>
          <w:iCs/>
          <w:color w:val="auto"/>
          <w:sz w:val="26"/>
          <w:szCs w:val="26"/>
          <w:lang w:val="en-US" w:eastAsia="en-US"/>
        </w:rPr>
        <w:t xml:space="preserve">     /TB-BVĐKSĐ ngày     </w:t>
      </w:r>
      <w:r w:rsidR="00A63EA6">
        <w:rPr>
          <w:rFonts w:ascii="Times New Roman" w:eastAsia="Times New Roman" w:hAnsi="Times New Roman" w:cs="Times New Roman"/>
          <w:i/>
          <w:iCs/>
          <w:color w:val="auto"/>
          <w:sz w:val="26"/>
          <w:szCs w:val="26"/>
          <w:lang w:val="en-US" w:eastAsia="en-US"/>
        </w:rPr>
        <w:t xml:space="preserve">      </w:t>
      </w:r>
      <w:r w:rsidRPr="00A63EA6">
        <w:rPr>
          <w:rFonts w:ascii="Times New Roman" w:eastAsia="Times New Roman" w:hAnsi="Times New Roman" w:cs="Times New Roman"/>
          <w:i/>
          <w:iCs/>
          <w:color w:val="auto"/>
          <w:sz w:val="26"/>
          <w:szCs w:val="26"/>
          <w:lang w:val="en-US" w:eastAsia="en-US"/>
        </w:rPr>
        <w:t xml:space="preserve"> </w:t>
      </w:r>
      <w:r w:rsidR="00A63EA6">
        <w:rPr>
          <w:rFonts w:ascii="Times New Roman" w:eastAsia="Times New Roman" w:hAnsi="Times New Roman" w:cs="Times New Roman"/>
          <w:i/>
          <w:iCs/>
          <w:color w:val="auto"/>
          <w:sz w:val="26"/>
          <w:szCs w:val="26"/>
          <w:lang w:val="en-US" w:eastAsia="en-US"/>
        </w:rPr>
        <w:t xml:space="preserve"> tháng 3 năm </w:t>
      </w:r>
      <w:r w:rsidRPr="00A63EA6">
        <w:rPr>
          <w:rFonts w:ascii="Times New Roman" w:eastAsia="Times New Roman" w:hAnsi="Times New Roman" w:cs="Times New Roman"/>
          <w:i/>
          <w:iCs/>
          <w:color w:val="auto"/>
          <w:sz w:val="26"/>
          <w:szCs w:val="26"/>
          <w:lang w:val="en-US" w:eastAsia="en-US"/>
        </w:rPr>
        <w:t>2025</w:t>
      </w:r>
      <w:r w:rsidR="00A63EA6">
        <w:rPr>
          <w:rFonts w:ascii="Times New Roman" w:eastAsia="Times New Roman" w:hAnsi="Times New Roman" w:cs="Times New Roman"/>
          <w:i/>
          <w:iCs/>
          <w:color w:val="auto"/>
          <w:sz w:val="26"/>
          <w:szCs w:val="26"/>
          <w:lang w:val="en-US" w:eastAsia="en-US"/>
        </w:rPr>
        <w:t xml:space="preserve">                    của Bệnh viện Đa khoa Sa Đéc</w:t>
      </w:r>
      <w:r w:rsidRPr="00A63EA6">
        <w:rPr>
          <w:rFonts w:ascii="Times New Roman" w:eastAsia="Times New Roman" w:hAnsi="Times New Roman" w:cs="Times New Roman"/>
          <w:i/>
          <w:iCs/>
          <w:color w:val="auto"/>
          <w:sz w:val="26"/>
          <w:szCs w:val="26"/>
          <w:lang w:val="en-US" w:eastAsia="en-US"/>
        </w:rPr>
        <w:t>)</w:t>
      </w:r>
    </w:p>
    <w:p w:rsidR="00A63EA6" w:rsidRPr="00A63EA6" w:rsidRDefault="00A63EA6" w:rsidP="00A63EA6">
      <w:pPr>
        <w:widowControl/>
        <w:jc w:val="center"/>
        <w:rPr>
          <w:rFonts w:ascii="Times New Roman" w:eastAsia="Times New Roman" w:hAnsi="Times New Roman" w:cs="Times New Roman"/>
          <w:i/>
          <w:iCs/>
          <w:color w:val="auto"/>
          <w:sz w:val="26"/>
          <w:szCs w:val="26"/>
          <w:lang w:val="en-US" w:eastAsia="en-US"/>
        </w:rPr>
      </w:pPr>
    </w:p>
    <w:tbl>
      <w:tblPr>
        <w:tblW w:w="5827" w:type="pct"/>
        <w:jc w:val="center"/>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67"/>
        <w:gridCol w:w="6517"/>
        <w:gridCol w:w="997"/>
        <w:gridCol w:w="990"/>
        <w:gridCol w:w="1509"/>
      </w:tblGrid>
      <w:tr w:rsidR="004C7C3E" w:rsidRPr="00D84BAF" w:rsidTr="00A63EA6">
        <w:trPr>
          <w:trHeight w:val="1462"/>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TT</w:t>
            </w:r>
          </w:p>
        </w:tc>
        <w:tc>
          <w:tcPr>
            <w:tcW w:w="3080"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NỘI DUNG</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MỨC TỐI ĐA</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color w:val="auto"/>
                <w:lang w:val="en-US" w:eastAsia="en-US"/>
              </w:rPr>
            </w:pPr>
            <w:r>
              <w:rPr>
                <w:rFonts w:ascii="Times New Roman" w:eastAsia="Times New Roman" w:hAnsi="Times New Roman" w:cs="Times New Roman"/>
                <w:b/>
                <w:bCs/>
                <w:color w:val="auto"/>
                <w:lang w:val="en-US" w:eastAsia="en-US"/>
              </w:rPr>
              <w:t>ĐƠN VỊ THAM GIA TỰ CHẤM</w:t>
            </w: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color w:val="auto"/>
                <w:lang w:val="en-US" w:eastAsia="en-US"/>
              </w:rPr>
            </w:pPr>
            <w:r w:rsidRPr="00D84BAF">
              <w:rPr>
                <w:rFonts w:ascii="Times New Roman" w:eastAsia="Times New Roman" w:hAnsi="Times New Roman" w:cs="Times New Roman"/>
                <w:b/>
                <w:bCs/>
                <w:color w:val="auto"/>
                <w:lang w:val="en-US" w:eastAsia="en-US"/>
              </w:rPr>
              <w:t>HỒ SƠ CHỨNG MINH</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Có tên trong danh sách các tổ chức hành nghề đấu giá tài sản do Bộ Tư pháp công bố</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Có tên trong danh sách tổ chức hành nghề đấu giá tài sản do Bộ Tư pháp công bố</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Đủ điều kiện</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4C7C3E" w:rsidRPr="00D84BAF" w:rsidRDefault="00A03C11" w:rsidP="00A63EA6">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Chứng minh</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Không có tên trong danh sách tổ chức hành nghề đấu giá tài sản do Bộ Tư pháp công bố</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Không đủ điều kiện</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II</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Cơ sở vật chất, trang thiết bị cần thiết bảo đảm cho việc đấu giá đối với loại tài sản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19,0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color w:val="auto"/>
                <w:lang w:val="en-US" w:eastAsia="en-US"/>
              </w:rPr>
            </w:pPr>
          </w:p>
        </w:tc>
        <w:tc>
          <w:tcPr>
            <w:tcW w:w="713" w:type="pct"/>
            <w:shd w:val="clear" w:color="auto" w:fill="FFFFFF"/>
            <w:vAlign w:val="center"/>
          </w:tcPr>
          <w:p w:rsidR="004C7C3E" w:rsidRPr="00CB2A09" w:rsidRDefault="004C7C3E" w:rsidP="00A63EA6">
            <w:pPr>
              <w:widowControl/>
              <w:spacing w:before="80" w:after="80"/>
              <w:jc w:val="center"/>
              <w:rPr>
                <w:rFonts w:ascii="Times New Roman" w:eastAsia="Times New Roman" w:hAnsi="Times New Roman" w:cs="Times New Roman"/>
                <w:bCs/>
                <w:color w:val="auto"/>
                <w:sz w:val="22"/>
                <w:lang w:val="en-US" w:eastAsia="en-US"/>
              </w:rPr>
            </w:pPr>
            <w:r w:rsidRPr="00CB2A09">
              <w:rPr>
                <w:rFonts w:ascii="Times New Roman" w:eastAsia="Times New Roman" w:hAnsi="Times New Roman" w:cs="Times New Roman"/>
                <w:bCs/>
                <w:color w:val="auto"/>
                <w:sz w:val="22"/>
                <w:lang w:val="en-US" w:eastAsia="en-US"/>
              </w:rPr>
              <w:t>Bản sao hợp đồng thuê hoặc chứng nhận quyền sử dụng</w:t>
            </w:r>
            <w:r w:rsidR="00CB2A09">
              <w:rPr>
                <w:rFonts w:ascii="Times New Roman" w:eastAsia="Times New Roman" w:hAnsi="Times New Roman" w:cs="Times New Roman"/>
                <w:bCs/>
                <w:color w:val="auto"/>
                <w:sz w:val="22"/>
                <w:lang w:val="en-US" w:eastAsia="en-US"/>
              </w:rPr>
              <w:t xml:space="preserve"> đất</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1</w:t>
            </w:r>
            <w:r w:rsidRPr="00D84BAF">
              <w:rPr>
                <w:rFonts w:ascii="Times New Roman" w:eastAsia="Times New Roman" w:hAnsi="Times New Roman" w:cs="Times New Roman"/>
                <w:b/>
                <w:i/>
                <w:iCs/>
                <w:color w:val="auto"/>
                <w:lang w:val="en-US" w:eastAsia="en-US"/>
              </w:rPr>
              <w:t>.</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Cơ sở vật chất bảo đảm cho việc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10,0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4C7C3E" w:rsidRPr="00A03C11" w:rsidRDefault="00A03C11" w:rsidP="00A63EA6">
            <w:pPr>
              <w:widowControl/>
              <w:spacing w:before="80" w:after="80"/>
              <w:jc w:val="center"/>
              <w:rPr>
                <w:rFonts w:ascii="Times New Roman" w:eastAsia="Times New Roman" w:hAnsi="Times New Roman" w:cs="Times New Roman"/>
                <w:bCs/>
                <w:iCs/>
                <w:color w:val="auto"/>
                <w:lang w:val="en-US" w:eastAsia="en-US"/>
              </w:rPr>
            </w:pPr>
            <w:r w:rsidRPr="00A03C11">
              <w:rPr>
                <w:rFonts w:ascii="Times New Roman" w:eastAsia="Times New Roman" w:hAnsi="Times New Roman" w:cs="Times New Roman"/>
                <w:bCs/>
                <w:iCs/>
                <w:color w:val="auto"/>
                <w:lang w:val="en-US" w:eastAsia="en-US"/>
              </w:rPr>
              <w:t>Ảnh chụp</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địa chỉ trụ sở ổn định, rõ ràng (số điện thoại, địa chỉ thư điện tử...), trụ sở có đủ diện tích làm việc</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Địa điểm bán, tiếp nhận hồ sơ tham gia đấu giá công khai, thuận tiện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i/>
                <w:iCs/>
                <w:color w:val="auto"/>
                <w:lang w:val="en-US" w:eastAsia="en-US"/>
              </w:rPr>
              <w:t>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Trang thiết bị cần thiết bảo đảm cho việc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i/>
                <w:iCs/>
                <w:color w:val="auto"/>
                <w:lang w:val="en-US" w:eastAsia="en-US"/>
              </w:rPr>
              <w:t>5,0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Cs/>
                <w:color w:val="auto"/>
                <w:lang w:val="en-US" w:eastAsia="en-US"/>
              </w:rPr>
            </w:pPr>
            <w:r w:rsidRPr="00D84BAF">
              <w:rPr>
                <w:rFonts w:ascii="Times New Roman" w:eastAsia="Times New Roman" w:hAnsi="Times New Roman" w:cs="Times New Roman"/>
                <w:iCs/>
                <w:color w:val="auto"/>
                <w:lang w:val="en-US" w:eastAsia="en-US"/>
              </w:rPr>
              <w:t>Ảnh chụp</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hệ thống camera giám sát hoặc thiết bị ghi hình tại trụ sở tổ chức hành nghề đấu giá tài sản khi bán, tiếp nhận hồ sơ tham gia đấu giá (có thể được trích xuất, lưu theo hồ sơ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hệ thống camera giám sát hoặc thiết bị ghi hình tại nơi tổ chức phiên đấu giá (được trích xuất, lưu theo hồ sơ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Có trang thông tin điện tử của tổ chức hành nghề đấu giá tài sản đang hoạt động ổn định, được cập nhật thường xuyên</w:t>
            </w:r>
          </w:p>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Đối với Trung tâm dịch vụ đấu giá tài sản thì dùng Trang thông tin điện tử độc lập hoặc Trang thông tin thuộc Cổng Thông tin điện tử của Sở Tư pháp</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p>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r w:rsidRPr="00D84BAF">
              <w:rPr>
                <w:rFonts w:ascii="Times New Roman" w:eastAsia="Times New Roman" w:hAnsi="Times New Roman" w:cs="Times New Roman"/>
                <w:bCs/>
                <w:iCs/>
                <w:color w:val="auto"/>
                <w:lang w:val="en-US" w:eastAsia="en-US"/>
              </w:rPr>
              <w:t>Dẫn đường link trang Web</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Có Trang thông tin đấu giá trực tuyến được phê duyệt hoặc trong năm trước liền kề đã thực hiện ít nhất 01 cuộc đấu giá bằng hình thức trực tuyến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r w:rsidRPr="00D84BAF">
              <w:rPr>
                <w:rFonts w:ascii="Times New Roman" w:eastAsia="Times New Roman" w:hAnsi="Times New Roman" w:cs="Times New Roman"/>
                <w:bCs/>
                <w:iCs/>
                <w:color w:val="auto"/>
                <w:lang w:val="en-US" w:eastAsia="en-US"/>
              </w:rPr>
              <w:t>Bản sao văn bản được cấp có thẩm quyền phê duyệt</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color w:val="auto"/>
                <w:lang w:val="en-US" w:eastAsia="en-US"/>
              </w:rPr>
              <w:t>5.</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Có nơi lưu trữ hồ sơ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iCs/>
                <w:color w:val="auto"/>
                <w:lang w:val="en-US" w:eastAsia="en-US"/>
              </w:rPr>
            </w:pPr>
            <w:r w:rsidRPr="00D84BAF">
              <w:rPr>
                <w:rFonts w:ascii="Times New Roman" w:eastAsia="Times New Roman" w:hAnsi="Times New Roman" w:cs="Times New Roman"/>
                <w:bCs/>
                <w:iCs/>
                <w:color w:val="auto"/>
                <w:lang w:val="en-US" w:eastAsia="en-US"/>
              </w:rPr>
              <w:t>Ảnh chụp</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Ill</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 xml:space="preserve">Phương án đấu giá khả thi, hiệu quả </w:t>
            </w:r>
            <w:r w:rsidRPr="00D84BAF">
              <w:rPr>
                <w:rFonts w:ascii="Times New Roman" w:eastAsia="Times New Roman" w:hAnsi="Times New Roman" w:cs="Times New Roman"/>
                <w:i/>
                <w:iCs/>
                <w:color w:val="auto"/>
                <w:lang w:val="en-US" w:eastAsia="en-US"/>
              </w:rPr>
              <w:t xml:space="preserve">(Thuyết minh đầy đủ các </w:t>
            </w:r>
            <w:r w:rsidRPr="00D84BAF">
              <w:rPr>
                <w:rFonts w:ascii="Times New Roman" w:eastAsia="Times New Roman" w:hAnsi="Times New Roman" w:cs="Times New Roman"/>
                <w:i/>
                <w:iCs/>
                <w:color w:val="auto"/>
                <w:lang w:val="en-US" w:eastAsia="en-US"/>
              </w:rPr>
              <w:lastRenderedPageBreak/>
              <w:t>nội dung trong phương án)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lastRenderedPageBreak/>
              <w:t>16,0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Cs/>
                <w:color w:val="auto"/>
                <w:lang w:val="en-US" w:eastAsia="en-US"/>
              </w:rPr>
            </w:pPr>
            <w:r w:rsidRPr="00D84BAF">
              <w:rPr>
                <w:rFonts w:ascii="Times New Roman" w:eastAsia="Times New Roman" w:hAnsi="Times New Roman" w:cs="Times New Roman"/>
                <w:bCs/>
                <w:color w:val="auto"/>
                <w:lang w:val="en-US" w:eastAsia="en-US"/>
              </w:rPr>
              <w:t xml:space="preserve">Bản gốc có </w:t>
            </w:r>
            <w:r w:rsidRPr="00D84BAF">
              <w:rPr>
                <w:rFonts w:ascii="Times New Roman" w:eastAsia="Times New Roman" w:hAnsi="Times New Roman" w:cs="Times New Roman"/>
                <w:bCs/>
                <w:color w:val="auto"/>
                <w:lang w:val="en-US" w:eastAsia="en-US"/>
              </w:rPr>
              <w:lastRenderedPageBreak/>
              <w:t xml:space="preserve">đóng </w:t>
            </w:r>
            <w:r w:rsidR="00FF4F1C">
              <w:rPr>
                <w:rFonts w:ascii="Times New Roman" w:eastAsia="Times New Roman" w:hAnsi="Times New Roman" w:cs="Times New Roman"/>
                <w:bCs/>
                <w:color w:val="auto"/>
                <w:lang w:val="en-US" w:eastAsia="en-US"/>
              </w:rPr>
              <w:t>dấu</w:t>
            </w:r>
            <w:r w:rsidRPr="00D84BAF">
              <w:rPr>
                <w:rFonts w:ascii="Times New Roman" w:eastAsia="Times New Roman" w:hAnsi="Times New Roman" w:cs="Times New Roman"/>
                <w:bCs/>
                <w:color w:val="auto"/>
                <w:lang w:val="en-US" w:eastAsia="en-US"/>
              </w:rPr>
              <w:t xml:space="preserve"> của tổ chức đấu giá</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lastRenderedPageBreak/>
              <w:t>1</w:t>
            </w:r>
            <w:r w:rsidRPr="00D84BAF">
              <w:rPr>
                <w:rFonts w:ascii="Times New Roman" w:eastAsia="Times New Roman" w:hAnsi="Times New Roman" w:cs="Times New Roman"/>
                <w:b/>
                <w:i/>
                <w:iCs/>
                <w:color w:val="auto"/>
                <w:lang w:val="en-US" w:eastAsia="en-US"/>
              </w:rPr>
              <w:t>.</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được hình thức đấu giá, bước giá, số vòng đấu giá có tính khả thi và hiệu quả cao</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Hình thức đấu giá khả thi, hiệu quả</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Bước giá, số vòng đấu giá khả thi, hiệu quả</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việc bán, tiếp nhận hồ sơ tham gia đấu giá công khai, khả thi, thuận tiện (địa điểm, phương thức bán, tiếp nhận hồ sơ)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được đối tượng và điều kiện tham gia đấu giá phù hợp với tài sản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Đối tượng theo đúng quy định của pháp luật</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Điều kiện tham gia đấu giá phù hợp với quy định pháp luật áp dụng đối với tài sản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w:t>
            </w:r>
            <w:r w:rsidRPr="00D84BAF">
              <w:rPr>
                <w:rFonts w:ascii="Times New Roman" w:eastAsia="Times New Roman" w:hAnsi="Times New Roman" w:cs="Times New Roman"/>
                <w:b/>
                <w:bCs/>
                <w:color w:val="auto"/>
                <w:lang w:val="en-US" w:eastAsia="en-US"/>
              </w:rPr>
              <w:t>.</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giải pháp giám sát việc tổ chức đấu giá hiệu quả; chống thông đồng, dìm giá, bảo đảm an toàn, an ninh trật tự của phiên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IV</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Năng lực, kinh nghiệm và uy tín của tổ chức hành nghề đấu giá tài sản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57,0</w:t>
            </w:r>
          </w:p>
        </w:tc>
        <w:tc>
          <w:tcPr>
            <w:tcW w:w="468" w:type="pct"/>
            <w:shd w:val="clear" w:color="auto" w:fill="FFFFFF"/>
            <w:vAlign w:val="center"/>
          </w:tcPr>
          <w:p w:rsidR="004C7C3E" w:rsidRPr="004C7C3E" w:rsidRDefault="004C7C3E" w:rsidP="00A63EA6">
            <w:pPr>
              <w:widowControl/>
              <w:spacing w:before="80" w:after="80"/>
              <w:jc w:val="center"/>
              <w:rPr>
                <w:rFonts w:ascii="Times New Roman" w:eastAsia="Times New Roman" w:hAnsi="Times New Roman" w:cs="Times New Roman"/>
                <w:bCs/>
                <w:iCs/>
                <w:color w:val="auto"/>
                <w:lang w:val="en-US" w:eastAsia="en-US"/>
              </w:rPr>
            </w:pPr>
          </w:p>
        </w:tc>
        <w:tc>
          <w:tcPr>
            <w:tcW w:w="713" w:type="pct"/>
            <w:shd w:val="clear" w:color="auto" w:fill="FFFFFF"/>
            <w:vAlign w:val="center"/>
          </w:tcPr>
          <w:p w:rsidR="004C7C3E" w:rsidRPr="004C7C3E" w:rsidRDefault="004C7C3E" w:rsidP="00A63EA6">
            <w:pPr>
              <w:widowControl/>
              <w:spacing w:before="80" w:after="80"/>
              <w:jc w:val="center"/>
              <w:rPr>
                <w:rFonts w:ascii="Times New Roman" w:eastAsia="Times New Roman" w:hAnsi="Times New Roman" w:cs="Times New Roman"/>
                <w:bCs/>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1</w:t>
            </w:r>
            <w:r w:rsidRPr="00D84BAF">
              <w:rPr>
                <w:rFonts w:ascii="Times New Roman" w:eastAsia="Times New Roman" w:hAnsi="Times New Roman" w:cs="Times New Roman"/>
                <w:b/>
                <w:i/>
                <w:iCs/>
                <w:color w:val="auto"/>
                <w:lang w:val="en-US" w:eastAsia="en-US"/>
              </w:rPr>
              <w:t>.</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Tổng số cuộc đấu giá đã tổ chức trong năm trước liền kề (bao gồm cả cuộc đấu giá thành và cuộc đấu giá không thành)</w:t>
            </w:r>
          </w:p>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15,0</w:t>
            </w:r>
          </w:p>
        </w:tc>
        <w:tc>
          <w:tcPr>
            <w:tcW w:w="468" w:type="pct"/>
            <w:shd w:val="clear" w:color="auto" w:fill="FFFFFF"/>
            <w:vAlign w:val="center"/>
          </w:tcPr>
          <w:p w:rsidR="004C7C3E" w:rsidRPr="004C7C3E" w:rsidRDefault="004C7C3E" w:rsidP="00A63EA6">
            <w:pPr>
              <w:widowControl/>
              <w:spacing w:before="80" w:after="80"/>
              <w:jc w:val="center"/>
              <w:rPr>
                <w:rFonts w:ascii="Times New Roman" w:eastAsia="Times New Roman" w:hAnsi="Times New Roman" w:cs="Times New Roman"/>
                <w:bCs/>
                <w:iCs/>
                <w:color w:val="auto"/>
                <w:lang w:val="en-US" w:eastAsia="en-US"/>
              </w:rPr>
            </w:pPr>
          </w:p>
        </w:tc>
        <w:tc>
          <w:tcPr>
            <w:tcW w:w="713" w:type="pct"/>
            <w:shd w:val="clear" w:color="auto" w:fill="FFFFFF"/>
            <w:vAlign w:val="center"/>
          </w:tcPr>
          <w:p w:rsidR="004C7C3E" w:rsidRPr="004C7C3E" w:rsidRDefault="004C7C3E" w:rsidP="00A63EA6">
            <w:pPr>
              <w:widowControl/>
              <w:spacing w:before="80" w:after="80"/>
              <w:jc w:val="center"/>
              <w:rPr>
                <w:rFonts w:ascii="Times New Roman" w:eastAsia="Times New Roman" w:hAnsi="Times New Roman" w:cs="Times New Roman"/>
                <w:bCs/>
                <w:iCs/>
                <w:color w:val="auto"/>
                <w:lang w:val="en-US" w:eastAsia="en-US"/>
              </w:rPr>
            </w:pPr>
            <w:r w:rsidRPr="004C7C3E">
              <w:rPr>
                <w:rFonts w:ascii="Times New Roman" w:eastAsia="Times New Roman" w:hAnsi="Times New Roman" w:cs="Times New Roman"/>
                <w:bCs/>
                <w:iCs/>
                <w:color w:val="auto"/>
                <w:lang w:val="en-US" w:eastAsia="en-US"/>
              </w:rPr>
              <w:t>Tài liệu chứng minh cho tiêu chí nào được chấm điểm</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20 cuộc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20 cuộc đấu giá đến dưới 40 cuộc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13,0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1.3</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40 cuộc đấu giá đến dưới 70 cuộc đấu giá</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1.4</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70 cuộc đấu giá trở lên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15,0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Tổng số cuộc đấu giá thành trong năm trước liền kề</w:t>
            </w:r>
          </w:p>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i/>
                <w:iCs/>
                <w:color w:val="auto"/>
                <w:lang w:val="en-US" w:eastAsia="en-US"/>
              </w:rPr>
              <w:t>7,0</w:t>
            </w:r>
          </w:p>
        </w:tc>
        <w:tc>
          <w:tcPr>
            <w:tcW w:w="468" w:type="pct"/>
            <w:shd w:val="clear" w:color="auto" w:fill="FFFFFF"/>
            <w:vAlign w:val="center"/>
          </w:tcPr>
          <w:p w:rsidR="004C7C3E" w:rsidRPr="004C7C3E" w:rsidRDefault="004C7C3E" w:rsidP="00A63EA6">
            <w:pPr>
              <w:widowControl/>
              <w:spacing w:before="80" w:after="80"/>
              <w:jc w:val="center"/>
              <w:rPr>
                <w:rFonts w:ascii="Times New Roman" w:eastAsia="Times New Roman" w:hAnsi="Times New Roman" w:cs="Times New Roman"/>
                <w:bCs/>
                <w:iCs/>
                <w:color w:val="auto"/>
                <w:lang w:val="en-US" w:eastAsia="en-US"/>
              </w:rPr>
            </w:pPr>
          </w:p>
        </w:tc>
        <w:tc>
          <w:tcPr>
            <w:tcW w:w="713" w:type="pct"/>
            <w:shd w:val="clear" w:color="auto" w:fill="FFFFFF"/>
            <w:vAlign w:val="center"/>
          </w:tcPr>
          <w:p w:rsidR="004C7C3E" w:rsidRPr="004C7C3E" w:rsidRDefault="004C7C3E" w:rsidP="00A63EA6">
            <w:pPr>
              <w:widowControl/>
              <w:spacing w:before="80" w:after="80"/>
              <w:jc w:val="center"/>
              <w:rPr>
                <w:rFonts w:ascii="Times New Roman" w:eastAsia="Times New Roman" w:hAnsi="Times New Roman" w:cs="Times New Roman"/>
                <w:bCs/>
                <w:iCs/>
                <w:color w:val="auto"/>
                <w:lang w:val="en-US" w:eastAsia="en-US"/>
              </w:rPr>
            </w:pPr>
            <w:r w:rsidRPr="004C7C3E">
              <w:rPr>
                <w:rFonts w:ascii="Times New Roman" w:eastAsia="Times New Roman" w:hAnsi="Times New Roman" w:cs="Times New Roman"/>
                <w:bCs/>
                <w:iCs/>
                <w:color w:val="auto"/>
                <w:lang w:val="en-US" w:eastAsia="en-US"/>
              </w:rPr>
              <w:t>Tài liệu chứng minh cho tiêu chí nào được chấm điểm</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10 cuộc đấu giá thành (bao gồm cả trường hợp không có cuộc đấu giá thành nào)</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 cuộc đấu giá thành đến dưới 30 cuộc đấu giá thành</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2.3</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30 cuộc đấu giá thành đến dưới 50 cuộc đấu giá thành</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2.4</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50 cuộc đấu giá thành trở lên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Tổng số cuộc đấu giá thành có chênh lệch giữa giá trúng so với giá khởi điểm trong năm trước liền kề</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color w:val="auto"/>
                <w:lang w:val="en-US" w:eastAsia="en-US"/>
              </w:rPr>
              <w:t>(Người có tài sản không yêu cầu nộp hoặc cung cấp bản chính hoặc bản sao hợp đồng, quy chế cuộc đấu giá và các tài liệu có liên quan)</w:t>
            </w:r>
          </w:p>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lastRenderedPageBreak/>
              <w:t>Chỉ chọn chấm điểm một trong các tiêu chí.</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lastRenderedPageBreak/>
              <w:t>7,0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4C7C3E" w:rsidRPr="00CB2A09" w:rsidRDefault="00CB2A09" w:rsidP="00A63EA6">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Lập danh sách chứng minh</w:t>
            </w: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lastRenderedPageBreak/>
              <w:t>3.1</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10 cuộc (bao gồm cả trường hợp không có chênh lệch)</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3.2</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 cuộc đến dưới 30 cuộc</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3.3</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30 cuộc đến dưới 50 cuộc</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A63EA6">
        <w:trPr>
          <w:jc w:val="center"/>
        </w:trPr>
        <w:tc>
          <w:tcPr>
            <w:tcW w:w="2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3.4</w:t>
            </w:r>
          </w:p>
        </w:tc>
        <w:tc>
          <w:tcPr>
            <w:tcW w:w="3080" w:type="pct"/>
            <w:shd w:val="clear" w:color="auto" w:fill="FFFFFF"/>
            <w:vAlign w:val="center"/>
          </w:tcPr>
          <w:p w:rsidR="004C7C3E" w:rsidRPr="00D84BAF" w:rsidRDefault="004C7C3E"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50 cuộc trở lên</w:t>
            </w:r>
          </w:p>
        </w:tc>
        <w:tc>
          <w:tcPr>
            <w:tcW w:w="471"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7,0</w:t>
            </w:r>
          </w:p>
        </w:tc>
        <w:tc>
          <w:tcPr>
            <w:tcW w:w="468"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4C7C3E" w:rsidRPr="00D84BAF" w:rsidRDefault="004C7C3E"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i/>
                <w:iCs/>
                <w:color w:val="auto"/>
                <w:lang w:val="en-US" w:eastAsia="en-US"/>
              </w:rPr>
              <w:t>4.</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Tổng số cuộc đấu giá thành trong năm trước liền kề có mức chênh lệch từ 10% trở lên</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color w:val="auto"/>
                <w:lang w:val="en-US" w:eastAsia="en-US"/>
              </w:rPr>
              <w:t>(Người có tài sản đấu giá không yêu cầu nộp bản chính hoặc bản sao hợp đồng)</w:t>
            </w:r>
          </w:p>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Người có tài sản chấm điểm theo cách thức dưới đây. Trường hợp kết quả điểm là số thập phân thì được làm tròn đến hàng phần trăm. Trường hợp số điểm của tổ chức hành nghề đấu giá tài sản dưới 1 điểm (bao gồm cả trường hợp 0 điểm) thì được tính là 1 điểm.</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CB2A09" w:rsidRPr="00CB2A09" w:rsidRDefault="00CB2A09" w:rsidP="00A63EA6">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Lập danh sách chứng minh</w:t>
            </w: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4.1</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Tổ chức hành nghề đấu giá tài sản (A) có tổng số cuộc đấu giá thành trong năm trước liền kề có mức chênh lệch từ 10% trở lên nhiều nhất (Y cuộc) thì được tối đa 3 điểm</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4.2</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Tổ chức hành nghề đấu giá tài sản (B) có tổng số cuộc đấu giá thành trong năm trước liền kề có mức chênh lệch từ 10% trở lên thấp hơn liền kề (U cuộc) thì số điểm được tính theo công thức:</w:t>
            </w:r>
          </w:p>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Số điểm của B = (U x 3)/Y</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4.3</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Tổ chức hành nghề đấu giá tài sản (C) có tổng số cuộc đấu giá thành trong năm trước liền kề có mức chênh lệch từ 10% trở lên thấp hơn liền kề tiếp theo (V cuộc) thì số điểm được tính tương tự theo công thức nêu trên: Số điểm của C</w:t>
            </w:r>
            <w:r w:rsidRPr="00D84BAF">
              <w:rPr>
                <w:rFonts w:ascii="Times New Roman" w:eastAsia="Times New Roman" w:hAnsi="Times New Roman" w:cs="Times New Roman"/>
                <w:color w:val="auto"/>
                <w:lang w:val="en-US" w:eastAsia="en-US"/>
              </w:rPr>
              <w:t xml:space="preserve"> =</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i/>
                <w:iCs/>
                <w:color w:val="auto"/>
                <w:lang w:val="en-US" w:eastAsia="en-US"/>
              </w:rPr>
              <w:t>(V x 3)/Y</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5.</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Thời gian hoạt động trong lĩnh vực đấu giá tài sản tính từ thời điểm có Quyết định thành lập hoặc được cấp Giấy đăng ký hoạt động (Giấy chứng nhận đăng ký kinh doanh đối với doanh nghiệp đấu giá tài sản được thành lập trước ngày Luật đấu giá tài sản có hiệu lực)</w:t>
            </w:r>
          </w:p>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7,0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CB2A09" w:rsidRPr="00CB2A09" w:rsidRDefault="00CB2A09" w:rsidP="00A63EA6">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 xml:space="preserve">Cung cấp </w:t>
            </w:r>
            <w:r>
              <w:rPr>
                <w:rFonts w:ascii="Times New Roman" w:eastAsia="Times New Roman" w:hAnsi="Times New Roman" w:cs="Times New Roman"/>
                <w:bCs/>
                <w:iCs/>
                <w:color w:val="auto"/>
                <w:lang w:val="en-US" w:eastAsia="en-US"/>
              </w:rPr>
              <w:t xml:space="preserve">bản sao </w:t>
            </w:r>
            <w:r w:rsidRPr="00CB2A09">
              <w:rPr>
                <w:rFonts w:ascii="Times New Roman" w:eastAsia="Times New Roman" w:hAnsi="Times New Roman" w:cs="Times New Roman"/>
                <w:bCs/>
                <w:iCs/>
                <w:color w:val="auto"/>
                <w:lang w:val="en-US" w:eastAsia="en-US"/>
              </w:rPr>
              <w:t>giấy chứng nhận đăng ký kinh doanh</w:t>
            </w: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5.1</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dưới 05 năm</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5.2</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từ 05 năm đến dưới 10 năm</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5.3</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từ 10 năm đến dưới 15 năm</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5.4</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từ 15 năm trở lên</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6.</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Số lượng đấu giá viên của tổ chức hành nghề đấu giá tài sản</w:t>
            </w:r>
          </w:p>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CB2A09" w:rsidRPr="00CB2A09" w:rsidRDefault="00CB2A09" w:rsidP="00A63EA6">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Cung cấp bản sao chứng nhận hành nghề đấu giá viên</w:t>
            </w: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6.1</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01 đấu giá viên</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6.2</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02 đến dưới 05 đấu giá viên</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A63EA6">
        <w:trPr>
          <w:jc w:val="center"/>
        </w:trPr>
        <w:tc>
          <w:tcPr>
            <w:tcW w:w="2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6.3</w:t>
            </w:r>
          </w:p>
        </w:tc>
        <w:tc>
          <w:tcPr>
            <w:tcW w:w="3080" w:type="pct"/>
            <w:shd w:val="clear" w:color="auto" w:fill="FFFFFF"/>
            <w:vAlign w:val="center"/>
          </w:tcPr>
          <w:p w:rsidR="00CB2A09" w:rsidRPr="00D84BAF" w:rsidRDefault="00CB2A09"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05 đấu giá viên trở lên</w:t>
            </w:r>
          </w:p>
        </w:tc>
        <w:tc>
          <w:tcPr>
            <w:tcW w:w="471"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CB2A09" w:rsidRPr="00D84BAF" w:rsidRDefault="00CB2A09"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lastRenderedPageBreak/>
              <w:t>7.</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Kinh nghiệm hành nghề của đấu giá viên là Giám đốc Trung tâm dịch vụ đấu giá tài sản, Tổng giám đốc hoặc Giám đốc của Công ty đấu giá hợp danh, Giám đốc doanh nghiệp tư nhân (Tính từ thời điểm được cấp Thẻ đấu giá viên theo Nghị định số 05/2005/NĐ-CP ngày 18/01/2005 của Chính phủ về bán đấu giá tài sản hoặc đăng ký danh sách đấu giá viên tại Sở Tư pháp theo Nghị định số 17/2010/NĐ-CP ngày 04/3/2010 của Chính phủ về bán đấu giá tài sản hoặc Thẻ đấu giá viên theo Luật đấu giá tài sản hoặc thông tin về danh sách đấu giá viên trong Giấy đăng ký hoạt động của doanh nghiệp đấu giá tài sản theo Luật sửa đổi, bổ sung một số điều của Luật đấu giá tài sản)</w:t>
            </w:r>
          </w:p>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A03C11" w:rsidRPr="00CB2A09" w:rsidRDefault="00A03C11" w:rsidP="00A63EA6">
            <w:pPr>
              <w:widowControl/>
              <w:spacing w:before="80" w:after="80"/>
              <w:jc w:val="center"/>
              <w:rPr>
                <w:rFonts w:ascii="Times New Roman" w:eastAsia="Times New Roman" w:hAnsi="Times New Roman" w:cs="Times New Roman"/>
                <w:bCs/>
                <w:iCs/>
                <w:color w:val="auto"/>
                <w:lang w:val="en-US" w:eastAsia="en-US"/>
              </w:rPr>
            </w:pPr>
            <w:r>
              <w:rPr>
                <w:rFonts w:ascii="Times New Roman" w:eastAsia="Times New Roman" w:hAnsi="Times New Roman" w:cs="Times New Roman"/>
                <w:bCs/>
                <w:iCs/>
                <w:color w:val="auto"/>
                <w:lang w:val="en-US" w:eastAsia="en-US"/>
              </w:rPr>
              <w:t>Chứng minh</w:t>
            </w: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7.1</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05 năm</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7.2</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05 năm đến dưới 10 năm</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7.3</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 năm trở lên</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8.</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Kinh nghiệm của đấu giá viên hành nghề</w:t>
            </w:r>
          </w:p>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5,0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bCs/>
                <w:i/>
                <w:iCs/>
                <w:color w:val="auto"/>
                <w:lang w:val="en-US" w:eastAsia="en-US"/>
              </w:rPr>
            </w:pPr>
          </w:p>
        </w:tc>
        <w:tc>
          <w:tcPr>
            <w:tcW w:w="713" w:type="pct"/>
            <w:shd w:val="clear" w:color="auto" w:fill="FFFFFF"/>
            <w:vAlign w:val="center"/>
          </w:tcPr>
          <w:p w:rsidR="00A03C11" w:rsidRPr="00A03C11" w:rsidRDefault="00A03C11" w:rsidP="00A63EA6">
            <w:pPr>
              <w:widowControl/>
              <w:spacing w:before="80" w:after="80"/>
              <w:jc w:val="center"/>
              <w:rPr>
                <w:rFonts w:ascii="Times New Roman" w:eastAsia="Times New Roman" w:hAnsi="Times New Roman" w:cs="Times New Roman"/>
                <w:bCs/>
                <w:iCs/>
                <w:color w:val="auto"/>
                <w:lang w:val="en-US" w:eastAsia="en-US"/>
              </w:rPr>
            </w:pPr>
            <w:r w:rsidRPr="00A03C11">
              <w:rPr>
                <w:rFonts w:ascii="Times New Roman" w:eastAsia="Times New Roman" w:hAnsi="Times New Roman" w:cs="Times New Roman"/>
                <w:bCs/>
                <w:iCs/>
                <w:color w:val="auto"/>
                <w:lang w:val="en-US" w:eastAsia="en-US"/>
              </w:rPr>
              <w:t>Chứng minh</w:t>
            </w: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8.1</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Không có đấu giá viên có thời gian hành nghề từ 05 năm trở lên</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8.2</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từ 01 đến 03 đấu giá viên có thời gian hành nghề từ 05 năm trở lên</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8.3</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từ 4 đấu giá viên trở lên có thời gian hành nghề từ 05 năm trở lên</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9.</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Số thuế thu nhập doanh nghiệp hoặc khoản tiền nộp vào ngân sách Nhà nước đối với Trung tâm dịch vụ đấu giá tài sản trong năm trước liền kề, trừ thuế giá trị gia tăng (Số thuế thu nhập doanh nghiệp phải nộp theo Tờ khai quyết toán thuế thu nhập doanh nghiệp trong báo cáo tài chính và số thuế thực nộp được cơ quan thuế xác nhận bằng chứng từ điện tử;</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b/>
                <w:bCs/>
                <w:i/>
                <w:iCs/>
                <w:color w:val="auto"/>
                <w:lang w:val="en-US" w:eastAsia="en-US"/>
              </w:rPr>
              <w:t>đối với Trung tâm dịch vụ đấu giá tài sản thì có văn bản về việc thực hiện nghĩa vụ thuế với ngân sách Nhà nước)</w:t>
            </w:r>
          </w:p>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color w:val="auto"/>
                <w:lang w:val="en-US" w:eastAsia="en-US"/>
              </w:rPr>
              <w:t>5,0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p>
        </w:tc>
        <w:tc>
          <w:tcPr>
            <w:tcW w:w="713" w:type="pct"/>
            <w:shd w:val="clear" w:color="auto" w:fill="FFFFFF"/>
            <w:vAlign w:val="center"/>
          </w:tcPr>
          <w:p w:rsidR="00A03C11" w:rsidRPr="00CB2A09" w:rsidRDefault="00A03C11" w:rsidP="00A63EA6">
            <w:pPr>
              <w:widowControl/>
              <w:spacing w:before="80" w:after="80"/>
              <w:jc w:val="center"/>
              <w:rPr>
                <w:rFonts w:ascii="Times New Roman" w:eastAsia="Times New Roman" w:hAnsi="Times New Roman" w:cs="Times New Roman"/>
                <w:color w:val="auto"/>
                <w:lang w:val="en-US" w:eastAsia="en-US"/>
              </w:rPr>
            </w:pPr>
            <w:r w:rsidRPr="00CB2A09">
              <w:rPr>
                <w:rFonts w:ascii="Times New Roman" w:eastAsia="Times New Roman" w:hAnsi="Times New Roman" w:cs="Times New Roman"/>
                <w:color w:val="auto"/>
                <w:lang w:val="en-US" w:eastAsia="en-US"/>
              </w:rPr>
              <w:t>Tài liệu chứng minh</w:t>
            </w: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9.1</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50 triệu đồng</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9.2</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50 triệu đồng đến dưới 100 triệu đồng</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9.3</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100 triệu đồng trở lên</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i/>
                <w:iCs/>
                <w:color w:val="auto"/>
                <w:lang w:val="en-US" w:eastAsia="en-US"/>
              </w:rPr>
            </w:pPr>
          </w:p>
        </w:tc>
      </w:tr>
      <w:tr w:rsidR="00A03C11" w:rsidRPr="00D84BAF" w:rsidTr="00A63EA6">
        <w:trPr>
          <w:jc w:val="center"/>
        </w:trPr>
        <w:tc>
          <w:tcPr>
            <w:tcW w:w="2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V</w:t>
            </w:r>
          </w:p>
        </w:tc>
        <w:tc>
          <w:tcPr>
            <w:tcW w:w="3080" w:type="pct"/>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 xml:space="preserve">Tiêu chí khác phù hợp với tài sản đấu giá do người có tài sản đấu giá quyết định </w:t>
            </w:r>
            <w:r w:rsidRPr="00D84BAF">
              <w:rPr>
                <w:rFonts w:ascii="Times New Roman" w:eastAsia="Times New Roman" w:hAnsi="Times New Roman" w:cs="Times New Roman"/>
                <w:color w:val="auto"/>
                <w:lang w:val="en-US" w:eastAsia="en-US"/>
              </w:rPr>
              <w:t>(Người có tài sản có thể chọn hoặc không chọn tiêu chí tại mục này để đánh giá chấm điểm. Trường hợp chọn tiêu chí tại mục này thì người có tài sản chọn một hoặc nhiều tiêu chí sau đây nhưng số điểm không được vượt quá mức tối đa của từng tiêu chí và tổng số điểm không được vượt quá mức tối đa của mục này)</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color w:val="auto"/>
                <w:lang w:val="en-US" w:eastAsia="en-US"/>
              </w:rPr>
              <w:t>8,0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p>
        </w:tc>
      </w:tr>
      <w:tr w:rsidR="00A03C11" w:rsidRPr="00D84BAF" w:rsidTr="00A63EA6">
        <w:trPr>
          <w:jc w:val="center"/>
        </w:trPr>
        <w:tc>
          <w:tcPr>
            <w:tcW w:w="268" w:type="pct"/>
            <w:shd w:val="clear" w:color="auto" w:fill="FFFFFF"/>
            <w:vAlign w:val="center"/>
          </w:tcPr>
          <w:p w:rsidR="00A03C11" w:rsidRPr="00D404BD" w:rsidRDefault="00A03C11" w:rsidP="00A63EA6">
            <w:pPr>
              <w:widowControl/>
              <w:spacing w:before="80" w:after="80"/>
              <w:jc w:val="center"/>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t>1.</w:t>
            </w:r>
          </w:p>
        </w:tc>
        <w:tc>
          <w:tcPr>
            <w:tcW w:w="3080" w:type="pct"/>
            <w:shd w:val="clear" w:color="auto" w:fill="FFFFFF"/>
            <w:vAlign w:val="center"/>
          </w:tcPr>
          <w:p w:rsidR="00A03C11" w:rsidRPr="00D404BD" w:rsidRDefault="00A03C11" w:rsidP="00A63EA6">
            <w:pPr>
              <w:widowControl/>
              <w:spacing w:before="80" w:after="80"/>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t>Đã tổ chức đấu giá thành tài sản cùng loại với tài sản đưa ra đấu giá</w:t>
            </w:r>
          </w:p>
          <w:p w:rsidR="00A03C11" w:rsidRPr="00D404BD" w:rsidRDefault="00A03C11" w:rsidP="00A63EA6">
            <w:pPr>
              <w:widowControl/>
              <w:spacing w:before="80" w:after="80"/>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t xml:space="preserve">Tài sản cùng loại được phân theo cùng một điểm quy định tại </w:t>
            </w:r>
            <w:r w:rsidRPr="00D404BD">
              <w:rPr>
                <w:rFonts w:ascii="Times New Roman" w:eastAsia="Times New Roman" w:hAnsi="Times New Roman" w:cs="Times New Roman"/>
                <w:color w:val="auto"/>
                <w:lang w:val="en-US" w:eastAsia="en-US"/>
              </w:rPr>
              <w:lastRenderedPageBreak/>
              <w:t>khoản 1 Điều 4 Luật đấu giá tài sản được sửa đổi bổ sung theo khoản 2 Điều 1 của Luật sửa đổi, bổ sung một số điều của Luật đấu giá tài sản.</w:t>
            </w:r>
          </w:p>
        </w:tc>
        <w:tc>
          <w:tcPr>
            <w:tcW w:w="471" w:type="pct"/>
            <w:shd w:val="clear" w:color="auto" w:fill="FFFFFF"/>
            <w:vAlign w:val="center"/>
          </w:tcPr>
          <w:p w:rsidR="00A03C11" w:rsidRPr="00D404BD" w:rsidRDefault="00A03C11" w:rsidP="00A63EA6">
            <w:pPr>
              <w:widowControl/>
              <w:spacing w:before="80" w:after="80"/>
              <w:jc w:val="center"/>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lastRenderedPageBreak/>
              <w:t>2,0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Tài liệu chứng minh</w:t>
            </w:r>
          </w:p>
        </w:tc>
      </w:tr>
      <w:tr w:rsidR="00A03C11" w:rsidRPr="00D84BAF" w:rsidTr="00A63EA6">
        <w:trPr>
          <w:jc w:val="center"/>
        </w:trPr>
        <w:tc>
          <w:tcPr>
            <w:tcW w:w="268" w:type="pct"/>
            <w:shd w:val="clear" w:color="auto" w:fill="FFFFFF"/>
            <w:vAlign w:val="center"/>
          </w:tcPr>
          <w:p w:rsidR="00A03C11" w:rsidRPr="00D404BD" w:rsidRDefault="00A03C11" w:rsidP="00A63EA6">
            <w:pPr>
              <w:widowControl/>
              <w:spacing w:before="80" w:after="80"/>
              <w:jc w:val="center"/>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lastRenderedPageBreak/>
              <w:t>2.</w:t>
            </w:r>
          </w:p>
        </w:tc>
        <w:tc>
          <w:tcPr>
            <w:tcW w:w="3080" w:type="pct"/>
            <w:shd w:val="clear" w:color="auto" w:fill="FFFFFF"/>
            <w:vAlign w:val="center"/>
          </w:tcPr>
          <w:p w:rsidR="00A03C11" w:rsidRPr="00D404BD" w:rsidRDefault="00A03C11" w:rsidP="00A63EA6">
            <w:pPr>
              <w:widowControl/>
              <w:spacing w:before="80" w:after="80"/>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t>Đã từng ký kết hợp đồng dịch vụ đấu giá tài sản với người có tài sản đấu giá và đã tổ chức cuộc đấu giá thành theo hợp đồng đó</w:t>
            </w:r>
          </w:p>
        </w:tc>
        <w:tc>
          <w:tcPr>
            <w:tcW w:w="471" w:type="pct"/>
            <w:shd w:val="clear" w:color="auto" w:fill="FFFFFF"/>
            <w:vAlign w:val="center"/>
          </w:tcPr>
          <w:p w:rsidR="00A03C11" w:rsidRPr="00D404BD" w:rsidRDefault="00A03C11" w:rsidP="00A63EA6">
            <w:pPr>
              <w:widowControl/>
              <w:spacing w:before="80" w:after="80"/>
              <w:jc w:val="center"/>
              <w:rPr>
                <w:rFonts w:ascii="Times New Roman" w:eastAsia="Times New Roman" w:hAnsi="Times New Roman" w:cs="Times New Roman"/>
                <w:color w:val="auto"/>
                <w:lang w:val="en-US" w:eastAsia="en-US"/>
              </w:rPr>
            </w:pPr>
            <w:r w:rsidRPr="00D404BD">
              <w:rPr>
                <w:rFonts w:ascii="Times New Roman" w:eastAsia="Times New Roman" w:hAnsi="Times New Roman" w:cs="Times New Roman"/>
                <w:color w:val="auto"/>
                <w:lang w:val="en-US" w:eastAsia="en-US"/>
              </w:rPr>
              <w:t>3,0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A03C11" w:rsidRDefault="00A03C11" w:rsidP="00A63EA6">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Tài liệu chứng minh</w:t>
            </w:r>
          </w:p>
        </w:tc>
      </w:tr>
      <w:tr w:rsidR="00A03C11" w:rsidRPr="00D84BAF" w:rsidTr="00A63EA6">
        <w:trPr>
          <w:jc w:val="center"/>
        </w:trPr>
        <w:tc>
          <w:tcPr>
            <w:tcW w:w="268" w:type="pct"/>
            <w:shd w:val="clear" w:color="auto" w:fill="FFFFFF"/>
            <w:vAlign w:val="center"/>
          </w:tcPr>
          <w:p w:rsidR="00A03C11" w:rsidRPr="004E2141" w:rsidRDefault="00A03C11" w:rsidP="00A63EA6">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3</w:t>
            </w:r>
            <w:r w:rsidRPr="004E2141">
              <w:rPr>
                <w:rFonts w:ascii="Times New Roman" w:eastAsia="Times New Roman" w:hAnsi="Times New Roman" w:cs="Times New Roman"/>
                <w:color w:val="auto"/>
                <w:lang w:val="en-US" w:eastAsia="en-US"/>
              </w:rPr>
              <w:t>.</w:t>
            </w:r>
          </w:p>
        </w:tc>
        <w:tc>
          <w:tcPr>
            <w:tcW w:w="3080" w:type="pct"/>
            <w:shd w:val="clear" w:color="auto" w:fill="FFFFFF"/>
            <w:vAlign w:val="center"/>
          </w:tcPr>
          <w:p w:rsidR="00A03C11" w:rsidRPr="00D404BD" w:rsidRDefault="00A03C11" w:rsidP="00A63EA6">
            <w:pPr>
              <w:widowControl/>
              <w:spacing w:before="80" w:after="80"/>
              <w:rPr>
                <w:rFonts w:ascii="Times New Roman" w:eastAsia="Times New Roman" w:hAnsi="Times New Roman" w:cs="Times New Roman"/>
                <w:color w:val="auto"/>
                <w:lang w:val="en-US" w:eastAsia="en-US"/>
              </w:rPr>
            </w:pPr>
            <w:r w:rsidRPr="00D404BD">
              <w:rPr>
                <w:rFonts w:ascii="Times New Roman" w:hAnsi="Times New Roman" w:cs="Times New Roman"/>
                <w:szCs w:val="22"/>
              </w:rPr>
              <w:t>Đơn vị thực hiện dịch vụ đấu giá đến Bệnh viện Đa khoa Sa Đéc để thực hiện phiên đấu giá trực tiếp.</w:t>
            </w:r>
          </w:p>
        </w:tc>
        <w:tc>
          <w:tcPr>
            <w:tcW w:w="471" w:type="pct"/>
            <w:shd w:val="clear" w:color="auto" w:fill="FFFFFF"/>
            <w:vAlign w:val="center"/>
          </w:tcPr>
          <w:p w:rsidR="00A03C11" w:rsidRPr="004E2141" w:rsidRDefault="00A03C11" w:rsidP="00A63EA6">
            <w:pPr>
              <w:widowControl/>
              <w:spacing w:before="80" w:after="80"/>
              <w:jc w:val="center"/>
              <w:rPr>
                <w:rFonts w:ascii="Times New Roman" w:eastAsia="Times New Roman" w:hAnsi="Times New Roman" w:cs="Times New Roman"/>
                <w:color w:val="auto"/>
                <w:lang w:val="en-US" w:eastAsia="en-US"/>
              </w:rPr>
            </w:pPr>
            <w:r w:rsidRPr="004E2141">
              <w:rPr>
                <w:rFonts w:ascii="Times New Roman" w:eastAsia="Times New Roman" w:hAnsi="Times New Roman" w:cs="Times New Roman"/>
                <w:color w:val="auto"/>
                <w:lang w:val="en-US" w:eastAsia="en-US"/>
              </w:rPr>
              <w:t>3,0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Cam kết</w:t>
            </w:r>
          </w:p>
        </w:tc>
      </w:tr>
      <w:tr w:rsidR="00A03C11" w:rsidRPr="00D84BAF" w:rsidTr="00A63EA6">
        <w:trPr>
          <w:jc w:val="center"/>
        </w:trPr>
        <w:tc>
          <w:tcPr>
            <w:tcW w:w="3348" w:type="pct"/>
            <w:gridSpan w:val="2"/>
            <w:shd w:val="clear" w:color="auto" w:fill="FFFFFF"/>
            <w:vAlign w:val="center"/>
          </w:tcPr>
          <w:p w:rsidR="00A03C11" w:rsidRPr="00D84BAF" w:rsidRDefault="00A03C11" w:rsidP="00A63EA6">
            <w:pPr>
              <w:widowControl/>
              <w:spacing w:before="80" w:after="80"/>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bCs/>
                <w:color w:val="auto"/>
                <w:lang w:val="en-US" w:eastAsia="en-US"/>
              </w:rPr>
              <w:t>Tổng số điểm</w:t>
            </w:r>
          </w:p>
        </w:tc>
        <w:tc>
          <w:tcPr>
            <w:tcW w:w="471"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color w:val="auto"/>
                <w:lang w:val="en-US" w:eastAsia="en-US"/>
              </w:rPr>
              <w:t>100</w:t>
            </w:r>
          </w:p>
        </w:tc>
        <w:tc>
          <w:tcPr>
            <w:tcW w:w="468"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p>
        </w:tc>
        <w:tc>
          <w:tcPr>
            <w:tcW w:w="713" w:type="pct"/>
            <w:shd w:val="clear" w:color="auto" w:fill="FFFFFF"/>
            <w:vAlign w:val="center"/>
          </w:tcPr>
          <w:p w:rsidR="00A03C11" w:rsidRPr="00D84BAF" w:rsidRDefault="00A03C11" w:rsidP="00A63EA6">
            <w:pPr>
              <w:widowControl/>
              <w:spacing w:before="80" w:after="80"/>
              <w:jc w:val="center"/>
              <w:rPr>
                <w:rFonts w:ascii="Times New Roman" w:eastAsia="Times New Roman" w:hAnsi="Times New Roman" w:cs="Times New Roman"/>
                <w:b/>
                <w:color w:val="auto"/>
                <w:lang w:val="en-US" w:eastAsia="en-US"/>
              </w:rPr>
            </w:pPr>
          </w:p>
        </w:tc>
      </w:tr>
    </w:tbl>
    <w:p w:rsidR="00A63EA6" w:rsidRPr="00A63EA6" w:rsidRDefault="00A63EA6" w:rsidP="00A63EA6">
      <w:pPr>
        <w:widowControl/>
        <w:spacing w:before="120" w:after="120"/>
        <w:jc w:val="both"/>
        <w:rPr>
          <w:rFonts w:ascii="Times New Roman" w:eastAsia="Times New Roman" w:hAnsi="Times New Roman" w:cs="Times New Roman"/>
          <w:b/>
          <w:bCs/>
          <w:color w:val="auto"/>
          <w:sz w:val="2"/>
          <w:szCs w:val="28"/>
          <w:lang w:val="en-US" w:eastAsia="en-US"/>
        </w:rPr>
      </w:pPr>
    </w:p>
    <w:p w:rsidR="00A41745" w:rsidRPr="00A63EA6" w:rsidRDefault="00A41745" w:rsidP="00A63EA6">
      <w:pPr>
        <w:widowControl/>
        <w:spacing w:before="120" w:after="120"/>
        <w:ind w:firstLine="720"/>
        <w:jc w:val="both"/>
        <w:rPr>
          <w:rFonts w:ascii="Times New Roman" w:eastAsia="Times New Roman" w:hAnsi="Times New Roman" w:cs="Times New Roman"/>
          <w:b/>
          <w:color w:val="auto"/>
          <w:sz w:val="28"/>
          <w:szCs w:val="28"/>
          <w:lang w:val="en-US" w:eastAsia="en-US"/>
        </w:rPr>
      </w:pPr>
      <w:r w:rsidRPr="00A63EA6">
        <w:rPr>
          <w:rFonts w:ascii="Times New Roman" w:eastAsia="Times New Roman" w:hAnsi="Times New Roman" w:cs="Times New Roman"/>
          <w:b/>
          <w:bCs/>
          <w:color w:val="auto"/>
          <w:sz w:val="28"/>
          <w:szCs w:val="28"/>
          <w:lang w:val="en-US" w:eastAsia="en-US"/>
        </w:rPr>
        <w:t>Ghi chú:</w:t>
      </w:r>
    </w:p>
    <w:p w:rsidR="00A41745" w:rsidRPr="00A63EA6" w:rsidRDefault="00A41745" w:rsidP="00A63EA6">
      <w:pPr>
        <w:widowControl/>
        <w:spacing w:before="120" w:after="120"/>
        <w:ind w:firstLine="720"/>
        <w:jc w:val="both"/>
        <w:rPr>
          <w:rFonts w:ascii="Times New Roman" w:eastAsia="Times New Roman" w:hAnsi="Times New Roman" w:cs="Times New Roman"/>
          <w:color w:val="auto"/>
          <w:sz w:val="28"/>
          <w:szCs w:val="28"/>
          <w:lang w:val="en-US" w:eastAsia="en-US"/>
        </w:rPr>
      </w:pPr>
      <w:r w:rsidRPr="00A63EA6">
        <w:rPr>
          <w:rFonts w:ascii="Times New Roman" w:eastAsia="Times New Roman" w:hAnsi="Times New Roman" w:cs="Times New Roman"/>
          <w:color w:val="auto"/>
          <w:sz w:val="28"/>
          <w:szCs w:val="28"/>
          <w:lang w:val="en-US" w:eastAsia="en-US"/>
        </w:rPr>
        <w:t>1. Tiêu chí đánh giá chấm điểm tại Phụ lục này không bao gồm tài sản đấu giá là biển số xe theo quy định của Luật Trật tự, an toàn giao thông đường bộ và tài sản thuộc sở hữu của cá nhân, tổ chức tự nguyện đấu giá.</w:t>
      </w:r>
    </w:p>
    <w:p w:rsidR="00A41745" w:rsidRPr="00A63EA6" w:rsidRDefault="00A41745" w:rsidP="00A63EA6">
      <w:pPr>
        <w:widowControl/>
        <w:spacing w:before="120" w:after="120"/>
        <w:ind w:firstLine="720"/>
        <w:jc w:val="both"/>
        <w:rPr>
          <w:rFonts w:ascii="Times New Roman" w:eastAsia="Times New Roman" w:hAnsi="Times New Roman" w:cs="Times New Roman"/>
          <w:color w:val="auto"/>
          <w:sz w:val="28"/>
          <w:szCs w:val="28"/>
          <w:lang w:val="en-US" w:eastAsia="en-US"/>
        </w:rPr>
      </w:pPr>
      <w:r w:rsidRPr="00A63EA6">
        <w:rPr>
          <w:rFonts w:ascii="Times New Roman" w:eastAsia="Times New Roman" w:hAnsi="Times New Roman" w:cs="Times New Roman"/>
          <w:color w:val="auto"/>
          <w:sz w:val="28"/>
          <w:szCs w:val="28"/>
          <w:lang w:val="en-US" w:eastAsia="en-US"/>
        </w:rPr>
        <w:t xml:space="preserve">2. Cuộc đấu giá thành quy định tại mục 1, mục 2, mục 3 và mục 4 phần IV Phụ lục này là cuộc đấu giá có ít nhất một tài sản đấu giá thành. Cuộc đấu giá không thành quy định tại mục 1 Phần IV Phụ lục này là cuộc đấu giá không có tài sản nào đấu giá thành và thuộc trường hợp quy định tại Điều 52 Luật </w:t>
      </w:r>
      <w:r w:rsidR="00A63EA6">
        <w:rPr>
          <w:rFonts w:ascii="Times New Roman" w:eastAsia="Times New Roman" w:hAnsi="Times New Roman" w:cs="Times New Roman"/>
          <w:color w:val="auto"/>
          <w:sz w:val="28"/>
          <w:szCs w:val="28"/>
          <w:lang w:val="en-US" w:eastAsia="en-US"/>
        </w:rPr>
        <w:t>Đ</w:t>
      </w:r>
      <w:r w:rsidRPr="00A63EA6">
        <w:rPr>
          <w:rFonts w:ascii="Times New Roman" w:eastAsia="Times New Roman" w:hAnsi="Times New Roman" w:cs="Times New Roman"/>
          <w:color w:val="auto"/>
          <w:sz w:val="28"/>
          <w:szCs w:val="28"/>
          <w:lang w:val="en-US" w:eastAsia="en-US"/>
        </w:rPr>
        <w:t xml:space="preserve">ấu giá </w:t>
      </w:r>
      <w:r w:rsidR="00A63EA6">
        <w:rPr>
          <w:rFonts w:ascii="Times New Roman" w:eastAsia="Times New Roman" w:hAnsi="Times New Roman" w:cs="Times New Roman"/>
          <w:color w:val="auto"/>
          <w:sz w:val="28"/>
          <w:szCs w:val="28"/>
          <w:lang w:val="en-US" w:eastAsia="en-US"/>
        </w:rPr>
        <w:t>T</w:t>
      </w:r>
      <w:r w:rsidRPr="00A63EA6">
        <w:rPr>
          <w:rFonts w:ascii="Times New Roman" w:eastAsia="Times New Roman" w:hAnsi="Times New Roman" w:cs="Times New Roman"/>
          <w:color w:val="auto"/>
          <w:sz w:val="28"/>
          <w:szCs w:val="28"/>
          <w:lang w:val="en-US" w:eastAsia="en-US"/>
        </w:rPr>
        <w:t xml:space="preserve">ài sản được sửa đổi bổ sung theo khoản 33 và điểm q khoản 45 Điều 1 của Luật sửa đổi, bổ sung một số điều của Luật </w:t>
      </w:r>
      <w:r w:rsidR="00A63EA6">
        <w:rPr>
          <w:rFonts w:ascii="Times New Roman" w:eastAsia="Times New Roman" w:hAnsi="Times New Roman" w:cs="Times New Roman"/>
          <w:color w:val="auto"/>
          <w:sz w:val="28"/>
          <w:szCs w:val="28"/>
          <w:lang w:val="en-US" w:eastAsia="en-US"/>
        </w:rPr>
        <w:t>Đ</w:t>
      </w:r>
      <w:r w:rsidRPr="00A63EA6">
        <w:rPr>
          <w:rFonts w:ascii="Times New Roman" w:eastAsia="Times New Roman" w:hAnsi="Times New Roman" w:cs="Times New Roman"/>
          <w:color w:val="auto"/>
          <w:sz w:val="28"/>
          <w:szCs w:val="28"/>
          <w:lang w:val="en-US" w:eastAsia="en-US"/>
        </w:rPr>
        <w:t xml:space="preserve">ấu giá </w:t>
      </w:r>
      <w:r w:rsidR="00A63EA6">
        <w:rPr>
          <w:rFonts w:ascii="Times New Roman" w:eastAsia="Times New Roman" w:hAnsi="Times New Roman" w:cs="Times New Roman"/>
          <w:color w:val="auto"/>
          <w:sz w:val="28"/>
          <w:szCs w:val="28"/>
          <w:lang w:val="en-US" w:eastAsia="en-US"/>
        </w:rPr>
        <w:t>T</w:t>
      </w:r>
      <w:r w:rsidRPr="00A63EA6">
        <w:rPr>
          <w:rFonts w:ascii="Times New Roman" w:eastAsia="Times New Roman" w:hAnsi="Times New Roman" w:cs="Times New Roman"/>
          <w:color w:val="auto"/>
          <w:sz w:val="28"/>
          <w:szCs w:val="28"/>
          <w:lang w:val="en-US" w:eastAsia="en-US"/>
        </w:rPr>
        <w:t>ài sản.</w:t>
      </w:r>
    </w:p>
    <w:p w:rsidR="00A41745" w:rsidRPr="00A63EA6" w:rsidRDefault="00A41745" w:rsidP="00A63EA6">
      <w:pPr>
        <w:widowControl/>
        <w:spacing w:before="120" w:after="120"/>
        <w:ind w:firstLine="720"/>
        <w:jc w:val="both"/>
        <w:rPr>
          <w:rFonts w:ascii="Times New Roman" w:eastAsia="Times New Roman" w:hAnsi="Times New Roman" w:cs="Times New Roman"/>
          <w:color w:val="auto"/>
          <w:sz w:val="28"/>
          <w:szCs w:val="28"/>
          <w:lang w:val="en-US" w:eastAsia="en-US"/>
        </w:rPr>
      </w:pPr>
      <w:r w:rsidRPr="00A63EA6">
        <w:rPr>
          <w:rFonts w:ascii="Times New Roman" w:eastAsia="Times New Roman" w:hAnsi="Times New Roman" w:cs="Times New Roman"/>
          <w:color w:val="auto"/>
          <w:sz w:val="28"/>
          <w:szCs w:val="28"/>
          <w:lang w:val="en-US" w:eastAsia="en-US"/>
        </w:rPr>
        <w:t>3. Năm trước liền kề tại mục 4 phần II, mục 1, mục 2, mục 3, mục 4 và mục 9 phần IV Phụ lục này được tính từ ngày 01/01 đến hết ngày 31/12.</w:t>
      </w:r>
    </w:p>
    <w:p w:rsidR="00A41745" w:rsidRPr="00A63EA6" w:rsidRDefault="00A41745" w:rsidP="00A63EA6">
      <w:pPr>
        <w:widowControl/>
        <w:spacing w:before="120" w:after="120"/>
        <w:ind w:firstLine="720"/>
        <w:jc w:val="both"/>
        <w:rPr>
          <w:rFonts w:ascii="Times New Roman" w:eastAsia="Times New Roman" w:hAnsi="Times New Roman" w:cs="Times New Roman"/>
          <w:color w:val="auto"/>
          <w:sz w:val="28"/>
          <w:szCs w:val="28"/>
          <w:lang w:val="en-US" w:eastAsia="en-US"/>
        </w:rPr>
      </w:pPr>
      <w:r w:rsidRPr="00A63EA6">
        <w:rPr>
          <w:rFonts w:ascii="Times New Roman" w:eastAsia="Times New Roman" w:hAnsi="Times New Roman" w:cs="Times New Roman"/>
          <w:color w:val="auto"/>
          <w:sz w:val="28"/>
          <w:szCs w:val="28"/>
          <w:lang w:val="en-US" w:eastAsia="en-US"/>
        </w:rPr>
        <w:t>4. Trường hợp tổ chức hành nghề đấu giá tài sản nộp hồ sơ tham gia lựa chọn từ ngày 01/01 đến ngày 31/3 hàng năm thì số thuế thu nhập doanh nghiệp hoặc khoản tiền nộp vào ngân sách Nhà nước được tính theo kỳ tính thuế của năm trước của năm liền kề. Trường hợp tổ chức hành nghề đấu giá tài sản nộp hồ sơ tham gia lựa chọn từ ngày 01/4 hàng năm trở đi thì số thuế thu nhập doanh nghiệp hoặc khoản tiền nộp vào ngân sách Nhà nước được tính theo kỳ tính thuế của năm trước liền kề.</w:t>
      </w:r>
    </w:p>
    <w:p w:rsidR="00A41745" w:rsidRPr="00A63EA6" w:rsidRDefault="00A41745" w:rsidP="00A63EA6">
      <w:pPr>
        <w:widowControl/>
        <w:spacing w:before="120" w:after="120"/>
        <w:ind w:firstLine="720"/>
        <w:jc w:val="both"/>
        <w:rPr>
          <w:rFonts w:ascii="Times New Roman" w:eastAsia="Times New Roman" w:hAnsi="Times New Roman" w:cs="Times New Roman"/>
          <w:color w:val="auto"/>
          <w:sz w:val="28"/>
          <w:szCs w:val="28"/>
          <w:lang w:val="en-US" w:eastAsia="en-US"/>
        </w:rPr>
      </w:pPr>
      <w:r w:rsidRPr="00A63EA6">
        <w:rPr>
          <w:rFonts w:ascii="Times New Roman" w:eastAsia="Times New Roman" w:hAnsi="Times New Roman" w:cs="Times New Roman"/>
          <w:color w:val="auto"/>
          <w:sz w:val="28"/>
          <w:szCs w:val="28"/>
          <w:lang w:val="en-US" w:eastAsia="en-US"/>
        </w:rPr>
        <w:t>5. Hồ sơ tham gia lựa chọn do tổ chức hành nghề đấu giá tài sản xây dựng, có dấu xác nhận của tổ chức hành nghề đấu giá tài sản bao gồm thông tin đầy đủ về các nhóm tiêu chí, tiêu chí thành phần quy định tại Phụ lục này.</w:t>
      </w:r>
    </w:p>
    <w:p w:rsidR="00A41745" w:rsidRPr="00A63EA6" w:rsidRDefault="00A41745" w:rsidP="00A63EA6">
      <w:pPr>
        <w:widowControl/>
        <w:spacing w:before="120" w:after="120"/>
        <w:ind w:firstLine="720"/>
        <w:jc w:val="both"/>
        <w:rPr>
          <w:rFonts w:ascii="Times New Roman" w:eastAsia="Times New Roman" w:hAnsi="Times New Roman" w:cs="Times New Roman"/>
          <w:color w:val="auto"/>
          <w:sz w:val="28"/>
          <w:szCs w:val="28"/>
          <w:lang w:val="en-US" w:eastAsia="en-US"/>
        </w:rPr>
      </w:pPr>
      <w:r w:rsidRPr="00A63EA6">
        <w:rPr>
          <w:rFonts w:ascii="Times New Roman" w:eastAsia="Times New Roman" w:hAnsi="Times New Roman" w:cs="Times New Roman"/>
          <w:color w:val="auto"/>
          <w:sz w:val="28"/>
          <w:szCs w:val="28"/>
          <w:lang w:val="en-US" w:eastAsia="en-US"/>
        </w:rPr>
        <w:t>Trong trường hợp người đại diện theo pháp luật, đấu giá viên của tổ chức bị kết án bằng bản án có hiệu lực pháp luật về tội vi phạm quy định về hoạt động đấu giá tài sản; tổ chức hành nghề đấu giá tài sản, đấu giá viên bị xử lý vi phạm hành chính; tổ chức hành nghề đấu giá tài sản bị cơ quan có thẩm quyền xác định không thực hiện thông báo công khai việc đấu giá tài sản trên Cổng đấu giá tài sản quốc gia trong thời hạn 12 tháng tính đến ngày nộp hồ sơ thì tổ chức hành nghề đấu giá tài sản có trách nhiệm cung cấp các thông tin này.</w:t>
      </w:r>
    </w:p>
    <w:p w:rsidR="00A41745" w:rsidRPr="00C72060" w:rsidRDefault="00A41745" w:rsidP="00A63EA6">
      <w:pPr>
        <w:widowControl/>
        <w:spacing w:before="120" w:after="120"/>
        <w:ind w:firstLine="720"/>
        <w:jc w:val="both"/>
        <w:rPr>
          <w:rFonts w:ascii="Times New Roman" w:eastAsia="Times New Roman" w:hAnsi="Times New Roman" w:cs="Times New Roman"/>
          <w:color w:val="auto"/>
          <w:lang w:val="en-US" w:eastAsia="en-US"/>
        </w:rPr>
      </w:pPr>
      <w:r w:rsidRPr="00A63EA6">
        <w:rPr>
          <w:rFonts w:ascii="Times New Roman" w:eastAsia="Times New Roman" w:hAnsi="Times New Roman" w:cs="Times New Roman"/>
          <w:color w:val="auto"/>
          <w:sz w:val="28"/>
          <w:szCs w:val="28"/>
          <w:lang w:val="en-US" w:eastAsia="en-US"/>
        </w:rPr>
        <w:t xml:space="preserve">6. Tổ chức hành nghề đấu giá tài sản chịu trách nhiệm đối với thông tin, giấy tờ, tài liệu chứng minh trong hồ sơ tham gia lựa chọn của mình. Tổ chức hành nghề đấu giá tài sản có thể gửi kèm theo bản đánh máy hoặc bản chụp các giấy tờ, tài liệu chứng minh trong hồ sơ tham gia lựa chọn của mình. Người có </w:t>
      </w:r>
      <w:r w:rsidRPr="00A63EA6">
        <w:rPr>
          <w:rFonts w:ascii="Times New Roman" w:eastAsia="Times New Roman" w:hAnsi="Times New Roman" w:cs="Times New Roman"/>
          <w:color w:val="auto"/>
          <w:sz w:val="28"/>
          <w:szCs w:val="28"/>
          <w:lang w:val="en-US" w:eastAsia="en-US"/>
        </w:rPr>
        <w:lastRenderedPageBreak/>
        <w:t>tài sản đấu giá không được yêu cầu tổ chức hành nghề đấu giá tài sản nộp hoặc cung cấp bản chính hoặc bản sao các giấy tờ, tài liệu chứng minh trong thông báo lựa chọn tổ chức hành nghề đấu giá tài sản.</w:t>
      </w:r>
      <w:bookmarkStart w:id="0" w:name="_GoBack"/>
      <w:bookmarkEnd w:id="0"/>
    </w:p>
    <w:p w:rsidR="00A41745" w:rsidRPr="00F814A9" w:rsidRDefault="00A41745" w:rsidP="00A41745">
      <w:pPr>
        <w:widowControl/>
        <w:spacing w:before="120"/>
        <w:rPr>
          <w:rFonts w:ascii="Arial" w:eastAsia="Times New Roman" w:hAnsi="Arial" w:cs="Arial"/>
          <w:color w:val="auto"/>
          <w:sz w:val="20"/>
          <w:szCs w:val="20"/>
          <w:lang w:val="en-US" w:eastAsia="en-US"/>
        </w:rPr>
      </w:pPr>
    </w:p>
    <w:sectPr w:rsidR="00A41745" w:rsidRPr="00F814A9" w:rsidSect="00F25B58">
      <w:headerReference w:type="default" r:id="rId7"/>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4F4" w:rsidRDefault="00C614F4" w:rsidP="00F25B58">
      <w:r>
        <w:separator/>
      </w:r>
    </w:p>
  </w:endnote>
  <w:endnote w:type="continuationSeparator" w:id="0">
    <w:p w:rsidR="00C614F4" w:rsidRDefault="00C614F4" w:rsidP="00F25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4F4" w:rsidRDefault="00C614F4" w:rsidP="00F25B58">
      <w:r>
        <w:separator/>
      </w:r>
    </w:p>
  </w:footnote>
  <w:footnote w:type="continuationSeparator" w:id="0">
    <w:p w:rsidR="00C614F4" w:rsidRDefault="00C614F4" w:rsidP="00F25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55509"/>
      <w:docPartObj>
        <w:docPartGallery w:val="Page Numbers (Top of Page)"/>
        <w:docPartUnique/>
      </w:docPartObj>
    </w:sdtPr>
    <w:sdtEndPr>
      <w:rPr>
        <w:rFonts w:ascii="Times New Roman" w:hAnsi="Times New Roman" w:cs="Times New Roman"/>
        <w:noProof/>
        <w:sz w:val="26"/>
        <w:szCs w:val="26"/>
      </w:rPr>
    </w:sdtEndPr>
    <w:sdtContent>
      <w:p w:rsidR="00F25B58" w:rsidRPr="00F25B58" w:rsidRDefault="00F25B58" w:rsidP="00F25B58">
        <w:pPr>
          <w:pStyle w:val="Header"/>
          <w:jc w:val="center"/>
          <w:rPr>
            <w:rFonts w:ascii="Times New Roman" w:hAnsi="Times New Roman" w:cs="Times New Roman"/>
            <w:sz w:val="26"/>
            <w:szCs w:val="26"/>
          </w:rPr>
        </w:pPr>
        <w:r w:rsidRPr="00F25B58">
          <w:rPr>
            <w:rFonts w:ascii="Times New Roman" w:hAnsi="Times New Roman" w:cs="Times New Roman"/>
            <w:sz w:val="26"/>
            <w:szCs w:val="26"/>
          </w:rPr>
          <w:fldChar w:fldCharType="begin"/>
        </w:r>
        <w:r w:rsidRPr="00F25B58">
          <w:rPr>
            <w:rFonts w:ascii="Times New Roman" w:hAnsi="Times New Roman" w:cs="Times New Roman"/>
            <w:sz w:val="26"/>
            <w:szCs w:val="26"/>
          </w:rPr>
          <w:instrText xml:space="preserve"> PAGE   \* MERGEFORMAT </w:instrText>
        </w:r>
        <w:r w:rsidRPr="00F25B58">
          <w:rPr>
            <w:rFonts w:ascii="Times New Roman" w:hAnsi="Times New Roman" w:cs="Times New Roman"/>
            <w:sz w:val="26"/>
            <w:szCs w:val="26"/>
          </w:rPr>
          <w:fldChar w:fldCharType="separate"/>
        </w:r>
        <w:r>
          <w:rPr>
            <w:rFonts w:ascii="Times New Roman" w:hAnsi="Times New Roman" w:cs="Times New Roman"/>
            <w:noProof/>
            <w:sz w:val="26"/>
            <w:szCs w:val="26"/>
          </w:rPr>
          <w:t>2</w:t>
        </w:r>
        <w:r w:rsidRPr="00F25B58">
          <w:rPr>
            <w:rFonts w:ascii="Times New Roman" w:hAnsi="Times New Roman" w:cs="Times New Roman"/>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745"/>
    <w:rsid w:val="001317A0"/>
    <w:rsid w:val="001A55CC"/>
    <w:rsid w:val="002175FC"/>
    <w:rsid w:val="00406484"/>
    <w:rsid w:val="004C7C3E"/>
    <w:rsid w:val="006F7352"/>
    <w:rsid w:val="00707554"/>
    <w:rsid w:val="00993CC5"/>
    <w:rsid w:val="009D49F1"/>
    <w:rsid w:val="00A03C11"/>
    <w:rsid w:val="00A41745"/>
    <w:rsid w:val="00A63EA6"/>
    <w:rsid w:val="00A92958"/>
    <w:rsid w:val="00BD5A62"/>
    <w:rsid w:val="00BD798C"/>
    <w:rsid w:val="00C614F4"/>
    <w:rsid w:val="00C72060"/>
    <w:rsid w:val="00CB2A09"/>
    <w:rsid w:val="00D84BAF"/>
    <w:rsid w:val="00F25B58"/>
    <w:rsid w:val="00F36A62"/>
    <w:rsid w:val="00F5609C"/>
    <w:rsid w:val="00FF4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745"/>
    <w:pPr>
      <w:widowControl w:val="0"/>
      <w:spacing w:after="0" w:line="240" w:lineRule="auto"/>
    </w:pPr>
    <w:rPr>
      <w:rFonts w:ascii="Microsoft Sans Serif" w:eastAsia="Microsoft Sans Serif" w:hAnsi="Microsoft Sans Serif" w:cs="Microsoft Sans Serif"/>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41745"/>
    <w:pPr>
      <w:widowControl w:val="0"/>
      <w:spacing w:after="0" w:line="240" w:lineRule="auto"/>
    </w:pPr>
    <w:rPr>
      <w:rFonts w:ascii="Arial Unicode MS" w:eastAsia="Arial Unicode MS" w:hAnsi="Arial Unicode MS" w:cs="Arial Unicode M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5B58"/>
    <w:pPr>
      <w:tabs>
        <w:tab w:val="center" w:pos="4680"/>
        <w:tab w:val="right" w:pos="9360"/>
      </w:tabs>
    </w:pPr>
  </w:style>
  <w:style w:type="character" w:customStyle="1" w:styleId="HeaderChar">
    <w:name w:val="Header Char"/>
    <w:basedOn w:val="DefaultParagraphFont"/>
    <w:link w:val="Header"/>
    <w:uiPriority w:val="99"/>
    <w:rsid w:val="00F25B58"/>
    <w:rPr>
      <w:rFonts w:ascii="Microsoft Sans Serif" w:eastAsia="Microsoft Sans Serif" w:hAnsi="Microsoft Sans Serif" w:cs="Microsoft Sans Serif"/>
      <w:color w:val="000000"/>
      <w:sz w:val="24"/>
      <w:szCs w:val="24"/>
      <w:lang w:val="vi-VN" w:eastAsia="vi-VN"/>
    </w:rPr>
  </w:style>
  <w:style w:type="paragraph" w:styleId="Footer">
    <w:name w:val="footer"/>
    <w:basedOn w:val="Normal"/>
    <w:link w:val="FooterChar"/>
    <w:uiPriority w:val="99"/>
    <w:unhideWhenUsed/>
    <w:rsid w:val="00F25B58"/>
    <w:pPr>
      <w:tabs>
        <w:tab w:val="center" w:pos="4680"/>
        <w:tab w:val="right" w:pos="9360"/>
      </w:tabs>
    </w:pPr>
  </w:style>
  <w:style w:type="character" w:customStyle="1" w:styleId="FooterChar">
    <w:name w:val="Footer Char"/>
    <w:basedOn w:val="DefaultParagraphFont"/>
    <w:link w:val="Footer"/>
    <w:uiPriority w:val="99"/>
    <w:rsid w:val="00F25B58"/>
    <w:rPr>
      <w:rFonts w:ascii="Microsoft Sans Serif" w:eastAsia="Microsoft Sans Serif" w:hAnsi="Microsoft Sans Serif" w:cs="Microsoft Sans Serif"/>
      <w:color w:val="000000"/>
      <w:sz w:val="24"/>
      <w:szCs w:val="24"/>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745"/>
    <w:pPr>
      <w:widowControl w:val="0"/>
      <w:spacing w:after="0" w:line="240" w:lineRule="auto"/>
    </w:pPr>
    <w:rPr>
      <w:rFonts w:ascii="Microsoft Sans Serif" w:eastAsia="Microsoft Sans Serif" w:hAnsi="Microsoft Sans Serif" w:cs="Microsoft Sans Serif"/>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41745"/>
    <w:pPr>
      <w:widowControl w:val="0"/>
      <w:spacing w:after="0" w:line="240" w:lineRule="auto"/>
    </w:pPr>
    <w:rPr>
      <w:rFonts w:ascii="Arial Unicode MS" w:eastAsia="Arial Unicode MS" w:hAnsi="Arial Unicode MS" w:cs="Arial Unicode M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5B58"/>
    <w:pPr>
      <w:tabs>
        <w:tab w:val="center" w:pos="4680"/>
        <w:tab w:val="right" w:pos="9360"/>
      </w:tabs>
    </w:pPr>
  </w:style>
  <w:style w:type="character" w:customStyle="1" w:styleId="HeaderChar">
    <w:name w:val="Header Char"/>
    <w:basedOn w:val="DefaultParagraphFont"/>
    <w:link w:val="Header"/>
    <w:uiPriority w:val="99"/>
    <w:rsid w:val="00F25B58"/>
    <w:rPr>
      <w:rFonts w:ascii="Microsoft Sans Serif" w:eastAsia="Microsoft Sans Serif" w:hAnsi="Microsoft Sans Serif" w:cs="Microsoft Sans Serif"/>
      <w:color w:val="000000"/>
      <w:sz w:val="24"/>
      <w:szCs w:val="24"/>
      <w:lang w:val="vi-VN" w:eastAsia="vi-VN"/>
    </w:rPr>
  </w:style>
  <w:style w:type="paragraph" w:styleId="Footer">
    <w:name w:val="footer"/>
    <w:basedOn w:val="Normal"/>
    <w:link w:val="FooterChar"/>
    <w:uiPriority w:val="99"/>
    <w:unhideWhenUsed/>
    <w:rsid w:val="00F25B58"/>
    <w:pPr>
      <w:tabs>
        <w:tab w:val="center" w:pos="4680"/>
        <w:tab w:val="right" w:pos="9360"/>
      </w:tabs>
    </w:pPr>
  </w:style>
  <w:style w:type="character" w:customStyle="1" w:styleId="FooterChar">
    <w:name w:val="Footer Char"/>
    <w:basedOn w:val="DefaultParagraphFont"/>
    <w:link w:val="Footer"/>
    <w:uiPriority w:val="99"/>
    <w:rsid w:val="00F25B58"/>
    <w:rPr>
      <w:rFonts w:ascii="Microsoft Sans Serif" w:eastAsia="Microsoft Sans Serif" w:hAnsi="Microsoft Sans Serif" w:cs="Microsoft Sans Serif"/>
      <w:color w:val="00000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6</Pages>
  <Words>1729</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14</cp:revision>
  <dcterms:created xsi:type="dcterms:W3CDTF">2025-02-12T01:36:00Z</dcterms:created>
  <dcterms:modified xsi:type="dcterms:W3CDTF">2025-03-18T08:35:00Z</dcterms:modified>
</cp:coreProperties>
</file>